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0F28" w14:textId="77777777" w:rsidR="008B2A6F" w:rsidRDefault="008B2A6F">
      <w:pPr>
        <w:rPr>
          <w:rFonts w:hint="eastAsia"/>
        </w:rPr>
      </w:pPr>
    </w:p>
    <w:p w14:paraId="0D8F3B7D" w14:textId="77777777" w:rsidR="008B2A6F" w:rsidRDefault="008B2A6F">
      <w:pPr>
        <w:rPr>
          <w:rFonts w:hint="eastAsia"/>
        </w:rPr>
      </w:pPr>
    </w:p>
    <w:p w14:paraId="4AE9E89A" w14:textId="77777777" w:rsidR="008B2A6F" w:rsidRDefault="00000000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A93D555" wp14:editId="246BEFED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00115" cy="2803525"/>
            <wp:effectExtent l="0" t="0" r="0" b="0"/>
            <wp:wrapSquare wrapText="largest"/>
            <wp:docPr id="1" name="Objek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kt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8D2CA6" w14:textId="77777777" w:rsidR="008B2A6F" w:rsidRDefault="008B2A6F">
      <w:pPr>
        <w:rPr>
          <w:rFonts w:hint="eastAsia"/>
        </w:rPr>
      </w:pPr>
    </w:p>
    <w:p w14:paraId="64F68178" w14:textId="77777777" w:rsidR="008B2A6F" w:rsidRDefault="008B2A6F">
      <w:pPr>
        <w:rPr>
          <w:rFonts w:hint="eastAsia"/>
        </w:rPr>
      </w:pPr>
    </w:p>
    <w:p w14:paraId="5FD1B607" w14:textId="77777777" w:rsidR="008B2A6F" w:rsidRDefault="00000000">
      <w:pPr>
        <w:rPr>
          <w:rFonts w:hint="eastAsia"/>
        </w:rPr>
      </w:pPr>
      <w:r>
        <w:rPr>
          <w:rFonts w:ascii="Arial" w:hAnsi="Arial"/>
        </w:rPr>
        <w:t>*</w:t>
      </w:r>
      <w:r>
        <w:rPr>
          <w:rFonts w:ascii="Arial" w:hAnsi="Arial"/>
        </w:rPr>
        <w:tab/>
        <w:t>Arvesse lähevad punktid 4 (nelja) parema tulemuse eest;</w:t>
      </w:r>
    </w:p>
    <w:p w14:paraId="0B4117CB" w14:textId="77777777" w:rsidR="008B2A6F" w:rsidRDefault="00000000">
      <w:pPr>
        <w:rPr>
          <w:rFonts w:hint="eastAsia"/>
        </w:rPr>
      </w:pPr>
      <w:r>
        <w:rPr>
          <w:rFonts w:ascii="Arial" w:hAnsi="Arial"/>
        </w:rPr>
        <w:t>*</w:t>
      </w:r>
      <w:r>
        <w:rPr>
          <w:rFonts w:ascii="Arial" w:hAnsi="Arial"/>
        </w:rPr>
        <w:tab/>
        <w:t>Laste GP ja ELTL GP puhul lähevad kirja saavutatud kohapunktid üldkokkuvõttes;</w:t>
      </w:r>
    </w:p>
    <w:p w14:paraId="5B3A73C7" w14:textId="77777777" w:rsidR="008B2A6F" w:rsidRDefault="00000000">
      <w:pPr>
        <w:rPr>
          <w:rFonts w:hint="eastAsia"/>
        </w:rPr>
      </w:pPr>
      <w:r>
        <w:rPr>
          <w:rFonts w:ascii="Arial" w:hAnsi="Arial"/>
        </w:rPr>
        <w:t>*</w:t>
      </w:r>
      <w:r>
        <w:rPr>
          <w:rFonts w:ascii="Arial" w:hAnsi="Arial"/>
        </w:rPr>
        <w:tab/>
        <w:t>Lisapunktid:</w:t>
      </w:r>
    </w:p>
    <w:p w14:paraId="6C787980" w14:textId="77777777" w:rsidR="008B2A6F" w:rsidRDefault="00000000">
      <w:pPr>
        <w:rPr>
          <w:rFonts w:hint="eastAsia"/>
        </w:rPr>
      </w:pPr>
      <w:r>
        <w:rPr>
          <w:rFonts w:ascii="Arial;Helvetica;sans-serif" w:hAnsi="Arial;Helvetica;sans-serif"/>
          <w:color w:val="000000"/>
        </w:rPr>
        <w:tab/>
        <w:t>- Laagrites osalemine - 2 punkti iga osalemise eest.</w:t>
      </w:r>
    </w:p>
    <w:p w14:paraId="64DA0607" w14:textId="77777777" w:rsidR="008B2A6F" w:rsidRDefault="00000000">
      <w:pPr>
        <w:rPr>
          <w:rFonts w:hint="eastAsia"/>
        </w:rPr>
      </w:pPr>
      <w:r>
        <w:rPr>
          <w:rFonts w:ascii="Arial;Helvetica;sans-serif" w:hAnsi="Arial;Helvetica;sans-serif"/>
          <w:color w:val="000000"/>
        </w:rPr>
        <w:tab/>
        <w:t>- Rahvusvahelise reiting - esimesed kolm Eesti mängijat saavad lisa</w:t>
      </w:r>
    </w:p>
    <w:p w14:paraId="1B26355A" w14:textId="77777777" w:rsidR="008B2A6F" w:rsidRDefault="00000000">
      <w:pPr>
        <w:rPr>
          <w:rFonts w:hint="eastAsia"/>
        </w:rPr>
      </w:pPr>
      <w:r>
        <w:rPr>
          <w:rFonts w:ascii="Arial;Helvetica;sans-serif" w:hAnsi="Arial;Helvetica;sans-serif"/>
          <w:color w:val="000000"/>
        </w:rPr>
        <w:tab/>
        <w:t>1. - 3</w:t>
      </w:r>
    </w:p>
    <w:p w14:paraId="23D98C5F" w14:textId="77777777" w:rsidR="008B2A6F" w:rsidRDefault="00000000">
      <w:pPr>
        <w:rPr>
          <w:rFonts w:hint="eastAsia"/>
        </w:rPr>
      </w:pPr>
      <w:r>
        <w:rPr>
          <w:rFonts w:ascii="Arial;Helvetica;sans-serif" w:hAnsi="Arial;Helvetica;sans-serif"/>
          <w:color w:val="000000"/>
        </w:rPr>
        <w:tab/>
        <w:t>2. - 2</w:t>
      </w:r>
    </w:p>
    <w:p w14:paraId="6BEAE7B5" w14:textId="77777777" w:rsidR="008B2A6F" w:rsidRDefault="00000000">
      <w:pPr>
        <w:rPr>
          <w:rFonts w:hint="eastAsia"/>
        </w:rPr>
      </w:pPr>
      <w:r>
        <w:rPr>
          <w:rFonts w:ascii="Arial;Helvetica;sans-serif" w:hAnsi="Arial;Helvetica;sans-serif"/>
          <w:color w:val="000000"/>
        </w:rPr>
        <w:tab/>
        <w:t>3. - 1</w:t>
      </w:r>
    </w:p>
    <w:p w14:paraId="2DC80ABC" w14:textId="77777777" w:rsidR="008B2A6F" w:rsidRDefault="00000000">
      <w:pPr>
        <w:rPr>
          <w:rFonts w:hint="eastAsia"/>
        </w:rPr>
      </w:pPr>
      <w:r>
        <w:rPr>
          <w:rFonts w:ascii="Arial;Helvetica;sans-serif" w:hAnsi="Arial;Helvetica;sans-serif"/>
          <w:color w:val="000000"/>
        </w:rPr>
        <w:t>*</w:t>
      </w:r>
      <w:r>
        <w:rPr>
          <w:rFonts w:ascii="Arial;Helvetica;sans-serif" w:hAnsi="Arial;Helvetica;sans-serif"/>
          <w:color w:val="000000"/>
        </w:rPr>
        <w:tab/>
        <w:t>Kriteeriumi võistlustel enim punkte kogunud sportlane saab automaatselt koha Eesti</w:t>
      </w:r>
      <w:r>
        <w:rPr>
          <w:rFonts w:ascii="Arial;Helvetica;sans-serif" w:hAnsi="Arial;Helvetica;sans-serif"/>
          <w:color w:val="000000"/>
        </w:rPr>
        <w:tab/>
        <w:t>koondises ning tema kulud kannab 100% ELTL;</w:t>
      </w:r>
    </w:p>
    <w:p w14:paraId="6E508B10" w14:textId="77777777" w:rsidR="008B2A6F" w:rsidRDefault="00000000">
      <w:pPr>
        <w:rPr>
          <w:rFonts w:hint="eastAsia"/>
        </w:rPr>
      </w:pPr>
      <w:r>
        <w:rPr>
          <w:rFonts w:ascii="Arial;Helvetica;sans-serif" w:hAnsi="Arial;Helvetica;sans-serif"/>
          <w:color w:val="000000"/>
        </w:rPr>
        <w:t>*</w:t>
      </w:r>
      <w:r>
        <w:rPr>
          <w:rFonts w:ascii="Arial;Helvetica;sans-serif" w:hAnsi="Arial;Helvetica;sans-serif"/>
          <w:color w:val="000000"/>
        </w:rPr>
        <w:tab/>
        <w:t xml:space="preserve">Koondise teine, kolmas ja vajadusel ka enam mängijad valib </w:t>
      </w:r>
      <w:bookmarkStart w:id="0" w:name="__DdeLink__12_3821299373"/>
      <w:bookmarkEnd w:id="0"/>
      <w:r>
        <w:rPr>
          <w:rFonts w:ascii="Arial;Helvetica;sans-serif" w:hAnsi="Arial;Helvetica;sans-serif"/>
          <w:color w:val="000000"/>
        </w:rPr>
        <w:t xml:space="preserve">treenerite nõukogu </w:t>
      </w:r>
      <w:r>
        <w:rPr>
          <w:rFonts w:ascii="Arial;Helvetica;sans-serif" w:hAnsi="Arial;Helvetica;sans-serif"/>
          <w:color w:val="000000"/>
        </w:rPr>
        <w:tab/>
        <w:t xml:space="preserve">ning kinnitab ELTL juhatus; </w:t>
      </w:r>
    </w:p>
    <w:p w14:paraId="22F3CA91" w14:textId="77777777" w:rsidR="008B2A6F" w:rsidRDefault="00000000">
      <w:pPr>
        <w:rPr>
          <w:rFonts w:hint="eastAsia"/>
        </w:rPr>
      </w:pPr>
      <w:r>
        <w:rPr>
          <w:rFonts w:ascii="Arial;Helvetica;sans-serif" w:hAnsi="Arial;Helvetica;sans-serif"/>
          <w:color w:val="000000"/>
        </w:rPr>
        <w:t>*</w:t>
      </w:r>
      <w:r>
        <w:rPr>
          <w:rFonts w:ascii="Arial;Helvetica;sans-serif" w:hAnsi="Arial;Helvetica;sans-serif"/>
          <w:color w:val="000000"/>
        </w:rPr>
        <w:tab/>
        <w:t xml:space="preserve">Koondise teise, kolmanda ja vajadusel ka enama mängijate kulude suuruse </w:t>
      </w:r>
      <w:r>
        <w:rPr>
          <w:rFonts w:ascii="Arial;Helvetica;sans-serif" w:hAnsi="Arial;Helvetica;sans-serif"/>
          <w:color w:val="000000"/>
        </w:rPr>
        <w:tab/>
        <w:t>hüvitamise otsustab treenerite nõukogu ning kinnitab ELTL juhatus;</w:t>
      </w:r>
    </w:p>
    <w:p w14:paraId="7DAEE9EC" w14:textId="77777777" w:rsidR="008B2A6F" w:rsidRDefault="00000000">
      <w:pPr>
        <w:rPr>
          <w:rFonts w:hint="eastAsia"/>
        </w:rPr>
      </w:pPr>
      <w:r>
        <w:rPr>
          <w:rFonts w:ascii="Arial;Helvetica;sans-serif" w:hAnsi="Arial;Helvetica;sans-serif"/>
          <w:color w:val="000000"/>
        </w:rPr>
        <w:t>*</w:t>
      </w:r>
      <w:r>
        <w:rPr>
          <w:rFonts w:ascii="Arial;Helvetica;sans-serif" w:hAnsi="Arial;Helvetica;sans-serif"/>
          <w:color w:val="000000"/>
        </w:rPr>
        <w:tab/>
        <w:t>Treeninglaagreid on planeeritud 3-4 koos tunnustatud peatreeneri ja sparringuga;</w:t>
      </w:r>
    </w:p>
    <w:p w14:paraId="3A510D5A" w14:textId="77777777" w:rsidR="008B2A6F" w:rsidRDefault="00000000">
      <w:pPr>
        <w:rPr>
          <w:rFonts w:hint="eastAsia"/>
        </w:rPr>
      </w:pPr>
      <w:r>
        <w:rPr>
          <w:rFonts w:ascii="Arial;Helvetica;sans-serif" w:hAnsi="Arial;Helvetica;sans-serif"/>
          <w:color w:val="000000"/>
        </w:rPr>
        <w:t>*</w:t>
      </w:r>
      <w:r>
        <w:rPr>
          <w:rFonts w:ascii="Arial;Helvetica;sans-serif" w:hAnsi="Arial;Helvetica;sans-serif"/>
          <w:color w:val="000000"/>
        </w:rPr>
        <w:tab/>
        <w:t xml:space="preserve">Nii U-19 kui ka U-15 koondised kinnitatakse mitte hiljemalt kui 2-2,5 kuud enne </w:t>
      </w:r>
      <w:r>
        <w:rPr>
          <w:rFonts w:ascii="Arial;Helvetica;sans-serif" w:hAnsi="Arial;Helvetica;sans-serif"/>
          <w:color w:val="000000"/>
        </w:rPr>
        <w:tab/>
        <w:t>tiitlivõistluse toimumist ilmunud reitingu alusel;</w:t>
      </w:r>
    </w:p>
    <w:p w14:paraId="527A1108" w14:textId="77777777" w:rsidR="008B2A6F" w:rsidRDefault="00000000">
      <w:pPr>
        <w:rPr>
          <w:rFonts w:hint="eastAsia"/>
        </w:rPr>
      </w:pPr>
      <w:r>
        <w:rPr>
          <w:rFonts w:ascii="Arial;Helvetica;sans-serif" w:hAnsi="Arial;Helvetica;sans-serif"/>
          <w:color w:val="000000"/>
        </w:rPr>
        <w:t>*</w:t>
      </w:r>
      <w:r>
        <w:rPr>
          <w:rFonts w:ascii="Arial;Helvetica;sans-serif" w:hAnsi="Arial;Helvetica;sans-serif"/>
          <w:color w:val="000000"/>
        </w:rPr>
        <w:tab/>
        <w:t>Minikadettide võistlus on kommertsturniir mitte tiitlivõistlus. ELTL ei finantseeri.</w:t>
      </w:r>
    </w:p>
    <w:p w14:paraId="2FEC49DB" w14:textId="77777777" w:rsidR="008B2A6F" w:rsidRDefault="00000000">
      <w:pPr>
        <w:rPr>
          <w:rFonts w:hint="eastAsia"/>
        </w:rPr>
      </w:pPr>
      <w:r>
        <w:rPr>
          <w:rFonts w:ascii="Arial;Helvetica;sans-serif" w:hAnsi="Arial;Helvetica;sans-serif"/>
          <w:color w:val="000000"/>
        </w:rPr>
        <w:t>*</w:t>
      </w:r>
      <w:r>
        <w:rPr>
          <w:rFonts w:ascii="Arial;Helvetica;sans-serif" w:hAnsi="Arial;Helvetica;sans-serif"/>
          <w:color w:val="000000"/>
        </w:rPr>
        <w:tab/>
        <w:t xml:space="preserve">Kui U-15 klassi lauatennisist/id on mänguoskustelt paremad ka U-19 klassi </w:t>
      </w:r>
      <w:r>
        <w:rPr>
          <w:rFonts w:ascii="Arial;Helvetica;sans-serif" w:hAnsi="Arial;Helvetica;sans-serif"/>
          <w:color w:val="000000"/>
        </w:rPr>
        <w:tab/>
        <w:t xml:space="preserve">meistrivõistlustel, siis on neil õigus mängida selles klassis välja arvatud U-15 klassi </w:t>
      </w:r>
      <w:r>
        <w:rPr>
          <w:rFonts w:ascii="Arial;Helvetica;sans-serif" w:hAnsi="Arial;Helvetica;sans-serif"/>
          <w:color w:val="000000"/>
        </w:rPr>
        <w:tab/>
        <w:t>kolm paremat, kes esindavad U-15 koondist.</w:t>
      </w:r>
    </w:p>
    <w:p w14:paraId="16DA2A42" w14:textId="77777777" w:rsidR="008B2A6F" w:rsidRDefault="008B2A6F">
      <w:pPr>
        <w:rPr>
          <w:rFonts w:hint="eastAsia"/>
        </w:rPr>
      </w:pPr>
    </w:p>
    <w:sectPr w:rsidR="008B2A6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6F"/>
    <w:rsid w:val="008B2A6F"/>
    <w:rsid w:val="00D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DFB7"/>
  <w15:docId w15:val="{8C73A364-4A17-4BC8-935F-F75AE4A3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Tamm</dc:creator>
  <dc:description/>
  <cp:lastModifiedBy>Margit Tamm</cp:lastModifiedBy>
  <cp:revision>2</cp:revision>
  <dcterms:created xsi:type="dcterms:W3CDTF">2022-10-28T13:57:00Z</dcterms:created>
  <dcterms:modified xsi:type="dcterms:W3CDTF">2022-10-28T13:57:00Z</dcterms:modified>
  <dc:language>et-EE</dc:language>
</cp:coreProperties>
</file>